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ascii="黑体" w:hAnsi="等线" w:eastAsia="黑体"/>
          <w:bCs/>
          <w:color w:val="000000"/>
          <w:sz w:val="32"/>
          <w:szCs w:val="32"/>
        </w:rPr>
      </w:pPr>
      <w:r>
        <w:rPr>
          <w:rFonts w:hint="eastAsia" w:ascii="黑体" w:hAnsi="等线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等线" w:eastAsia="黑体"/>
          <w:bCs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等线" w:eastAsia="黑体"/>
          <w:bCs/>
          <w:color w:val="000000"/>
          <w:sz w:val="32"/>
          <w:szCs w:val="32"/>
        </w:rPr>
        <w:t>：</w:t>
      </w:r>
    </w:p>
    <w:p>
      <w:pPr>
        <w:spacing w:before="156" w:beforeLines="50"/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广东省民办教育协会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2022</w:t>
      </w:r>
      <w:r>
        <w:rPr>
          <w:rFonts w:hint="eastAsia" w:ascii="宋体" w:hAnsi="宋体"/>
          <w:b/>
          <w:color w:val="000000"/>
          <w:sz w:val="36"/>
          <w:szCs w:val="36"/>
        </w:rPr>
        <w:t>年度</w:t>
      </w: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民办高校</w:t>
      </w:r>
      <w:r>
        <w:rPr>
          <w:rFonts w:hint="eastAsia" w:ascii="宋体" w:hAnsi="宋体"/>
          <w:b/>
          <w:color w:val="000000"/>
          <w:sz w:val="36"/>
          <w:szCs w:val="36"/>
        </w:rPr>
        <w:t>科研课题指南</w:t>
      </w:r>
    </w:p>
    <w:p>
      <w:pPr>
        <w:spacing w:line="44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一、民办教育综合或区域性研究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新形势下中国民办教育发展理论走向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中外民办教育发展比较研究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民办教育可持续性发展战略研究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广东省民办高等教育发展报告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广东省民办教育上市情况调研报告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广东省民办教育集团化办学研究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广东省民办教育典型案例研究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黑体" w:hAnsi="黑体" w:eastAsia="黑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二、民办学校德育与管理机制研究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1.民办学校“三全育人”改革研究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2.民办学校课程思政改革研究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3.民办学校管理机制创新研究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4.民办学校特色文化建设研究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5.民办师德师风建设研究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6.民办学校教师权益保护研究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7.民办学校师资队伍建设研究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8.民办学校分类评价机制研究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9.民办学校职称评审改革研究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三、民办学校社会服务研究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1.民办教育社会分类管理研究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.民办学校的市场监管机制研究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.民办学校服务区域经济发展研究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.民办学校产教融合与校企合作机制研究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.民办学校与“一带一路”建设研究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.民办学校与粤港澳大湾区建设发展研究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.民办教育发展中的政府职责研究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.民办教育的社会功能研究</w:t>
      </w:r>
    </w:p>
    <w:p>
      <w:pPr>
        <w:spacing w:line="44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4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四、民办高校应用型发展研究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1.民办高校应用型人才模式研究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2.民办高校应用型专业特色建设研究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3.民办高校应用型课程体系建设研究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4.民办高校实践教学研究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5.民办高校教学信息化建设研究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6.民办高校应用型人才质量保障体系构建研究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7.民办高校应用型人才创新创业研究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8.民办高校应用型教学管理创新研究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9.民办高校教师应用型教师教学能力发展研究</w:t>
      </w:r>
    </w:p>
    <w:p>
      <w:pPr>
        <w:rPr>
          <w:rFonts w:ascii="等线" w:hAnsi="等线" w:eastAsia="等线"/>
          <w:szCs w:val="24"/>
        </w:rPr>
      </w:pPr>
    </w:p>
    <w:p>
      <w:pPr>
        <w:spacing w:line="44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五、民办教育的其它问题研究</w:t>
      </w:r>
    </w:p>
    <w:p>
      <w:pPr>
        <w:rPr>
          <w:rFonts w:ascii="等线" w:hAnsi="等线" w:eastAsia="等线"/>
          <w:szCs w:val="24"/>
        </w:rPr>
      </w:pPr>
    </w:p>
    <w:p>
      <w:pPr>
        <w:rPr>
          <w:rFonts w:ascii="等线" w:hAnsi="等线" w:eastAsia="等线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DC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2021-12-06T02:36:11Z</dcterms:created>
  <dc:creator>Administrator</dc:creator>
  <cp:lastModifiedBy>Lily He</cp:lastModifiedBy>
  <dcterms:modified xsi:type="dcterms:W3CDTF">2021-12-06T02:36:19Z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D54F4E8B792D4C2E9A06836E55F96622</vt:lpwstr>
  </property>
</Properties>
</file>